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628" w:rsidRDefault="000E1628" w:rsidP="000E1628">
      <w:pPr>
        <w:pStyle w:val="NormalWeb"/>
        <w:jc w:val="center"/>
        <w:rPr>
          <w:rStyle w:val="Strong"/>
        </w:rPr>
      </w:pPr>
    </w:p>
    <w:p w:rsidR="007E317E" w:rsidRPr="007E317E" w:rsidRDefault="007E317E" w:rsidP="007E317E">
      <w:pPr>
        <w:spacing w:before="100" w:beforeAutospacing="1" w:after="100" w:afterAutospacing="1" w:line="240" w:lineRule="auto"/>
        <w:jc w:val="center"/>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REGULATION ON INNOVATION AND TECHNOLOGY TRANSFER MANAGEMENT</w:t>
      </w:r>
    </w:p>
    <w:p w:rsidR="007E317E" w:rsidRDefault="007E317E" w:rsidP="007E317E">
      <w:pPr>
        <w:spacing w:before="100" w:beforeAutospacing="1" w:after="100" w:afterAutospacing="1" w:line="240" w:lineRule="auto"/>
        <w:rPr>
          <w:rFonts w:ascii="Times New Roman" w:eastAsia="Times New Roman" w:hAnsi="Times New Roman" w:cs="Times New Roman"/>
          <w:b/>
          <w:bCs/>
          <w:sz w:val="24"/>
          <w:szCs w:val="24"/>
        </w:rPr>
      </w:pP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Chapter I. General Provisions and Purpose</w:t>
      </w:r>
      <w:r w:rsidRPr="007E317E">
        <w:rPr>
          <w:rFonts w:ascii="Times New Roman" w:eastAsia="Times New Roman" w:hAnsi="Times New Roman" w:cs="Times New Roman"/>
          <w:sz w:val="24"/>
          <w:szCs w:val="24"/>
        </w:rPr>
        <w:t xml:space="preserve">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1.</w:t>
      </w:r>
      <w:r w:rsidRPr="007E317E">
        <w:rPr>
          <w:rFonts w:ascii="Times New Roman" w:eastAsia="Times New Roman" w:hAnsi="Times New Roman" w:cs="Times New Roman"/>
          <w:sz w:val="24"/>
          <w:szCs w:val="24"/>
        </w:rPr>
        <w:t xml:space="preserve"> This regulation establishes the institutional framework for stimulating, managing, and capitalizing on innovation and technology transfer within the Institute e-Austria </w:t>
      </w:r>
      <w:proofErr w:type="spellStart"/>
      <w:r w:rsidRPr="007E317E">
        <w:rPr>
          <w:rFonts w:ascii="Times New Roman" w:eastAsia="Times New Roman" w:hAnsi="Times New Roman" w:cs="Times New Roman"/>
          <w:sz w:val="24"/>
          <w:szCs w:val="24"/>
        </w:rPr>
        <w:t>Timișoara</w:t>
      </w:r>
      <w:proofErr w:type="spellEnd"/>
      <w:r w:rsidRPr="007E317E">
        <w:rPr>
          <w:rFonts w:ascii="Times New Roman" w:eastAsia="Times New Roman" w:hAnsi="Times New Roman" w:cs="Times New Roman"/>
          <w:sz w:val="24"/>
          <w:szCs w:val="24"/>
        </w:rPr>
        <w:t xml:space="preserve">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founded in partnership by the Research Institute for Symbolic Computation (RISC) in Linz, the West University of </w:t>
      </w:r>
      <w:proofErr w:type="spellStart"/>
      <w:r w:rsidRPr="007E317E">
        <w:rPr>
          <w:rFonts w:ascii="Times New Roman" w:eastAsia="Times New Roman" w:hAnsi="Times New Roman" w:cs="Times New Roman"/>
          <w:sz w:val="24"/>
          <w:szCs w:val="24"/>
        </w:rPr>
        <w:t>Timișoara</w:t>
      </w:r>
      <w:proofErr w:type="spellEnd"/>
      <w:r w:rsidRPr="007E317E">
        <w:rPr>
          <w:rFonts w:ascii="Times New Roman" w:eastAsia="Times New Roman" w:hAnsi="Times New Roman" w:cs="Times New Roman"/>
          <w:sz w:val="24"/>
          <w:szCs w:val="24"/>
        </w:rPr>
        <w:t xml:space="preserve"> (UVT), and the </w:t>
      </w:r>
      <w:proofErr w:type="spellStart"/>
      <w:r w:rsidRPr="007E317E">
        <w:rPr>
          <w:rFonts w:ascii="Times New Roman" w:eastAsia="Times New Roman" w:hAnsi="Times New Roman" w:cs="Times New Roman"/>
          <w:sz w:val="24"/>
          <w:szCs w:val="24"/>
        </w:rPr>
        <w:t>Politehnica</w:t>
      </w:r>
      <w:proofErr w:type="spellEnd"/>
      <w:r w:rsidRPr="007E317E">
        <w:rPr>
          <w:rFonts w:ascii="Times New Roman" w:eastAsia="Times New Roman" w:hAnsi="Times New Roman" w:cs="Times New Roman"/>
          <w:sz w:val="24"/>
          <w:szCs w:val="24"/>
        </w:rPr>
        <w:t xml:space="preserve"> University of </w:t>
      </w:r>
      <w:proofErr w:type="spellStart"/>
      <w:r w:rsidRPr="007E317E">
        <w:rPr>
          <w:rFonts w:ascii="Times New Roman" w:eastAsia="Times New Roman" w:hAnsi="Times New Roman" w:cs="Times New Roman"/>
          <w:sz w:val="24"/>
          <w:szCs w:val="24"/>
        </w:rPr>
        <w:t>Timișoara</w:t>
      </w:r>
      <w:proofErr w:type="spellEnd"/>
      <w:r w:rsidRPr="007E317E">
        <w:rPr>
          <w:rFonts w:ascii="Times New Roman" w:eastAsia="Times New Roman" w:hAnsi="Times New Roman" w:cs="Times New Roman"/>
          <w:sz w:val="24"/>
          <w:szCs w:val="24"/>
        </w:rPr>
        <w:t xml:space="preserve"> (UPT).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2.</w:t>
      </w:r>
      <w:r w:rsidRPr="007E317E">
        <w:rPr>
          <w:rFonts w:ascii="Times New Roman" w:eastAsia="Times New Roman" w:hAnsi="Times New Roman" w:cs="Times New Roman"/>
          <w:sz w:val="24"/>
          <w:szCs w:val="24"/>
        </w:rPr>
        <w:t xml:space="preserve"> The mission of the innovation activity is to provide a bridge between fundamental research from the academic environment and applied research intended for the socio-economic environment. </w:t>
      </w:r>
    </w:p>
    <w:p w:rsidR="007E317E" w:rsidRP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3.</w:t>
      </w:r>
      <w:r w:rsidRPr="007E317E">
        <w:rPr>
          <w:rFonts w:ascii="Times New Roman" w:eastAsia="Times New Roman" w:hAnsi="Times New Roman" w:cs="Times New Roman"/>
          <w:sz w:val="24"/>
          <w:szCs w:val="24"/>
        </w:rPr>
        <w:t xml:space="preserve"> Innovation management at the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level is aligned with the objectives of the National Research, Development and Innovation Plan (PNCDI), which aims to encourage partnerships between public and private actors for the transfer of research results to the market and the stimulation of innovative entrepreneurship.</w:t>
      </w:r>
    </w:p>
    <w:p w:rsidR="007E317E" w:rsidRDefault="007E317E" w:rsidP="007E317E">
      <w:pPr>
        <w:spacing w:before="100" w:beforeAutospacing="1" w:after="100" w:afterAutospacing="1" w:line="240" w:lineRule="auto"/>
        <w:jc w:val="both"/>
        <w:rPr>
          <w:rFonts w:ascii="Times New Roman" w:eastAsia="Times New Roman" w:hAnsi="Times New Roman" w:cs="Times New Roman"/>
          <w:b/>
          <w:bCs/>
          <w:sz w:val="24"/>
          <w:szCs w:val="24"/>
        </w:rPr>
      </w:pP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Chapter II. Strategic Directions of Innovation</w:t>
      </w:r>
      <w:r w:rsidRPr="007E317E">
        <w:rPr>
          <w:rFonts w:ascii="Times New Roman" w:eastAsia="Times New Roman" w:hAnsi="Times New Roman" w:cs="Times New Roman"/>
          <w:sz w:val="24"/>
          <w:szCs w:val="24"/>
        </w:rPr>
        <w:t xml:space="preserve">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4.</w:t>
      </w:r>
      <w:r w:rsidRPr="007E317E">
        <w:rPr>
          <w:rFonts w:ascii="Times New Roman" w:eastAsia="Times New Roman" w:hAnsi="Times New Roman" w:cs="Times New Roman"/>
          <w:sz w:val="24"/>
          <w:szCs w:val="24"/>
        </w:rPr>
        <w:t xml:space="preserve">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focuses its innovation efforts in the areas of assumed technological growth, namely information technology, cloud computing, machine learning, big data, earth observation, and software engineering. </w:t>
      </w:r>
    </w:p>
    <w:p w:rsidR="007E317E" w:rsidRP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5.</w:t>
      </w:r>
      <w:r w:rsidRPr="007E317E">
        <w:rPr>
          <w:rFonts w:ascii="Times New Roman" w:eastAsia="Times New Roman" w:hAnsi="Times New Roman" w:cs="Times New Roman"/>
          <w:sz w:val="24"/>
          <w:szCs w:val="24"/>
        </w:rPr>
        <w:t xml:space="preserve"> Innovation within the institute must respond to societal challenges and generate original technical solutions useful to economic agents, the social, and the administrative environment.</w:t>
      </w:r>
    </w:p>
    <w:p w:rsidR="007E317E" w:rsidRDefault="007E317E" w:rsidP="007E317E">
      <w:pPr>
        <w:spacing w:before="100" w:beforeAutospacing="1" w:after="100" w:afterAutospacing="1" w:line="240" w:lineRule="auto"/>
        <w:jc w:val="both"/>
        <w:rPr>
          <w:rFonts w:ascii="Times New Roman" w:eastAsia="Times New Roman" w:hAnsi="Times New Roman" w:cs="Times New Roman"/>
          <w:b/>
          <w:bCs/>
          <w:sz w:val="24"/>
          <w:szCs w:val="24"/>
        </w:rPr>
      </w:pP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Chapter III. The Innovation Lifecycle and Public-Private Partnerships</w:t>
      </w:r>
      <w:r w:rsidRPr="007E317E">
        <w:rPr>
          <w:rFonts w:ascii="Times New Roman" w:eastAsia="Times New Roman" w:hAnsi="Times New Roman" w:cs="Times New Roman"/>
          <w:sz w:val="24"/>
          <w:szCs w:val="24"/>
        </w:rPr>
        <w:t xml:space="preserve">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6.</w:t>
      </w:r>
      <w:r w:rsidRPr="007E317E">
        <w:rPr>
          <w:rFonts w:ascii="Times New Roman" w:eastAsia="Times New Roman" w:hAnsi="Times New Roman" w:cs="Times New Roman"/>
          <w:sz w:val="24"/>
          <w:szCs w:val="24"/>
        </w:rPr>
        <w:t xml:space="preserve">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researchers are encouraged to develop joint research-innovation projects based on partnerships with the business environment, supporting the access of economic actors to the </w:t>
      </w:r>
      <w:r w:rsidRPr="007E317E">
        <w:rPr>
          <w:rFonts w:ascii="Times New Roman" w:eastAsia="Times New Roman" w:hAnsi="Times New Roman" w:cs="Times New Roman"/>
          <w:sz w:val="24"/>
          <w:szCs w:val="24"/>
        </w:rPr>
        <w:lastRenderedPageBreak/>
        <w:t xml:space="preserve">research-development-innovation (RDI) services of the institute, in accordance with the objectives of national and European programs related to innovation partnerships.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7.</w:t>
      </w:r>
      <w:r w:rsidRPr="007E317E">
        <w:rPr>
          <w:rFonts w:ascii="Times New Roman" w:eastAsia="Times New Roman" w:hAnsi="Times New Roman" w:cs="Times New Roman"/>
          <w:sz w:val="24"/>
          <w:szCs w:val="24"/>
        </w:rPr>
        <w:t xml:space="preserve"> The performance evaluation of innovative projects will also be carried out through the lens of socio-economic impact, focusing primarily on the concrete applications of research results in the economy and society. </w:t>
      </w:r>
    </w:p>
    <w:p w:rsidR="007E317E" w:rsidRP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8.</w:t>
      </w:r>
      <w:r w:rsidRPr="007E317E">
        <w:rPr>
          <w:rFonts w:ascii="Times New Roman" w:eastAsia="Times New Roman" w:hAnsi="Times New Roman" w:cs="Times New Roman"/>
          <w:sz w:val="24"/>
          <w:szCs w:val="24"/>
        </w:rPr>
        <w:t xml:space="preserve">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will support the development of software packages and tools, as well as the development of widely useful resources and data collections that have a visible impact on the technological ecosystem.</w:t>
      </w:r>
    </w:p>
    <w:p w:rsidR="007E317E" w:rsidRDefault="007E317E" w:rsidP="007E317E">
      <w:pPr>
        <w:spacing w:before="100" w:beforeAutospacing="1" w:after="100" w:afterAutospacing="1" w:line="240" w:lineRule="auto"/>
        <w:jc w:val="both"/>
        <w:rPr>
          <w:rFonts w:ascii="Times New Roman" w:eastAsia="Times New Roman" w:hAnsi="Times New Roman" w:cs="Times New Roman"/>
          <w:b/>
          <w:bCs/>
          <w:sz w:val="24"/>
          <w:szCs w:val="24"/>
        </w:rPr>
      </w:pP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Chapter IV. Financing Innovation and Attracting Funds</w:t>
      </w:r>
      <w:r w:rsidRPr="007E317E">
        <w:rPr>
          <w:rFonts w:ascii="Times New Roman" w:eastAsia="Times New Roman" w:hAnsi="Times New Roman" w:cs="Times New Roman"/>
          <w:sz w:val="24"/>
          <w:szCs w:val="24"/>
        </w:rPr>
        <w:t xml:space="preserve">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9.</w:t>
      </w:r>
      <w:r w:rsidRPr="007E317E">
        <w:rPr>
          <w:rFonts w:ascii="Times New Roman" w:eastAsia="Times New Roman" w:hAnsi="Times New Roman" w:cs="Times New Roman"/>
          <w:sz w:val="24"/>
          <w:szCs w:val="24"/>
        </w:rPr>
        <w:t xml:space="preserve"> An essential component of innovation management is the ability of researchers and the institute to attract and manage funds from national competitions (e.g., PNCDI) and international ones (e.g., Horizon Europe, ESA programs). </w:t>
      </w:r>
    </w:p>
    <w:p w:rsidR="007E317E" w:rsidRP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10.</w:t>
      </w:r>
      <w:r w:rsidRPr="007E317E">
        <w:rPr>
          <w:rFonts w:ascii="Times New Roman" w:eastAsia="Times New Roman" w:hAnsi="Times New Roman" w:cs="Times New Roman"/>
          <w:sz w:val="24"/>
          <w:szCs w:val="24"/>
        </w:rPr>
        <w:t xml:space="preserve"> The institution supports the formation of consortia and networks at the European level to maximize the chances of funding in calls for applied projects and technological innovation. A key performance indicator assumed by the management is winning, through competition, research projects funded by industry or public funds.</w:t>
      </w:r>
    </w:p>
    <w:p w:rsidR="007E317E" w:rsidRDefault="007E317E" w:rsidP="007E317E">
      <w:pPr>
        <w:spacing w:before="100" w:beforeAutospacing="1" w:after="100" w:afterAutospacing="1" w:line="240" w:lineRule="auto"/>
        <w:jc w:val="both"/>
        <w:rPr>
          <w:rFonts w:ascii="Times New Roman" w:eastAsia="Times New Roman" w:hAnsi="Times New Roman" w:cs="Times New Roman"/>
          <w:b/>
          <w:bCs/>
          <w:sz w:val="24"/>
          <w:szCs w:val="24"/>
        </w:rPr>
      </w:pP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Chapter V. Open Science and Research Data Management</w:t>
      </w:r>
      <w:r w:rsidRPr="007E317E">
        <w:rPr>
          <w:rFonts w:ascii="Times New Roman" w:eastAsia="Times New Roman" w:hAnsi="Times New Roman" w:cs="Times New Roman"/>
          <w:sz w:val="24"/>
          <w:szCs w:val="24"/>
        </w:rPr>
        <w:t xml:space="preserve">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11.</w:t>
      </w:r>
      <w:r w:rsidRPr="007E317E">
        <w:rPr>
          <w:rFonts w:ascii="Times New Roman" w:eastAsia="Times New Roman" w:hAnsi="Times New Roman" w:cs="Times New Roman"/>
          <w:sz w:val="24"/>
          <w:szCs w:val="24"/>
        </w:rPr>
        <w:t xml:space="preserve"> Innovation within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supports the principles of Open Science, facilitating the transition towards a culture of transparency, reuse, and reproducibility of results, according to the national strategy (White Paper on the Transition to Open Science 2023-2030).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12.</w:t>
      </w:r>
      <w:r w:rsidRPr="007E317E">
        <w:rPr>
          <w:rFonts w:ascii="Times New Roman" w:eastAsia="Times New Roman" w:hAnsi="Times New Roman" w:cs="Times New Roman"/>
          <w:sz w:val="24"/>
          <w:szCs w:val="24"/>
        </w:rPr>
        <w:t xml:space="preserve"> All innovative projects that generate datasets must develop and implement a </w:t>
      </w:r>
      <w:r w:rsidRPr="007E317E">
        <w:rPr>
          <w:rFonts w:ascii="Times New Roman" w:eastAsia="Times New Roman" w:hAnsi="Times New Roman" w:cs="Times New Roman"/>
          <w:bCs/>
          <w:sz w:val="24"/>
          <w:szCs w:val="24"/>
        </w:rPr>
        <w:t>Data Management Plan</w:t>
      </w:r>
      <w:r w:rsidRPr="007E317E">
        <w:rPr>
          <w:rFonts w:ascii="Times New Roman" w:eastAsia="Times New Roman" w:hAnsi="Times New Roman" w:cs="Times New Roman"/>
          <w:sz w:val="24"/>
          <w:szCs w:val="24"/>
        </w:rPr>
        <w:t xml:space="preserve"> according to the FAIR principles (Findable, Accessible, Interoperable, and Reusable). </w:t>
      </w:r>
    </w:p>
    <w:p w:rsidR="007E317E" w:rsidRP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13.</w:t>
      </w:r>
      <w:r w:rsidRPr="007E317E">
        <w:rPr>
          <w:rFonts w:ascii="Times New Roman" w:eastAsia="Times New Roman" w:hAnsi="Times New Roman" w:cs="Times New Roman"/>
          <w:sz w:val="24"/>
          <w:szCs w:val="24"/>
        </w:rPr>
        <w:t xml:space="preserve">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encourages the integration of its own infrastructures and innovation results into scientific cloud initiatives.</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lastRenderedPageBreak/>
        <w:t>Chapter VI. Intellectual Property Rights</w:t>
      </w:r>
      <w:r w:rsidRPr="007E317E">
        <w:rPr>
          <w:rFonts w:ascii="Times New Roman" w:eastAsia="Times New Roman" w:hAnsi="Times New Roman" w:cs="Times New Roman"/>
          <w:sz w:val="24"/>
          <w:szCs w:val="24"/>
        </w:rPr>
        <w:t xml:space="preserve">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14.</w:t>
      </w:r>
      <w:r w:rsidRPr="007E317E">
        <w:rPr>
          <w:rFonts w:ascii="Times New Roman" w:eastAsia="Times New Roman" w:hAnsi="Times New Roman" w:cs="Times New Roman"/>
          <w:sz w:val="24"/>
          <w:szCs w:val="24"/>
        </w:rPr>
        <w:t xml:space="preserve"> The protection of innovation results (software, algorithms, patents for invention) is done in compliance with national legislation (such as Law no. 8/1996 on copyright, Law no. 64/1991 on patents for invention, and their updates). </w:t>
      </w:r>
    </w:p>
    <w:p w:rsidR="007E317E" w:rsidRP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15.</w:t>
      </w:r>
      <w:r w:rsidRPr="007E317E">
        <w:rPr>
          <w:rFonts w:ascii="Times New Roman" w:eastAsia="Times New Roman" w:hAnsi="Times New Roman" w:cs="Times New Roman"/>
          <w:sz w:val="24"/>
          <w:szCs w:val="24"/>
        </w:rPr>
        <w:t xml:space="preserve"> The annual evaluation of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researchers will directly reward the acquisition of international and national patents, as well as the development of software solutions with demonstrated utility.</w:t>
      </w:r>
    </w:p>
    <w:p w:rsidR="007E317E" w:rsidRDefault="007E317E" w:rsidP="007E317E">
      <w:pPr>
        <w:spacing w:before="100" w:beforeAutospacing="1" w:after="100" w:afterAutospacing="1" w:line="240" w:lineRule="auto"/>
        <w:jc w:val="both"/>
        <w:rPr>
          <w:rFonts w:ascii="Times New Roman" w:eastAsia="Times New Roman" w:hAnsi="Times New Roman" w:cs="Times New Roman"/>
          <w:b/>
          <w:bCs/>
          <w:sz w:val="24"/>
          <w:szCs w:val="24"/>
        </w:rPr>
      </w:pP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Chapter VII. Final Provisions</w:t>
      </w:r>
      <w:r w:rsidRPr="007E317E">
        <w:rPr>
          <w:rFonts w:ascii="Times New Roman" w:eastAsia="Times New Roman" w:hAnsi="Times New Roman" w:cs="Times New Roman"/>
          <w:sz w:val="24"/>
          <w:szCs w:val="24"/>
        </w:rPr>
        <w:t xml:space="preserve"> </w:t>
      </w:r>
    </w:p>
    <w:p w:rsid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r w:rsidRPr="007E317E">
        <w:rPr>
          <w:rFonts w:ascii="Times New Roman" w:eastAsia="Times New Roman" w:hAnsi="Times New Roman" w:cs="Times New Roman"/>
          <w:b/>
          <w:bCs/>
          <w:sz w:val="24"/>
          <w:szCs w:val="24"/>
        </w:rPr>
        <w:t>Art. 16.</w:t>
      </w:r>
      <w:r w:rsidRPr="007E317E">
        <w:rPr>
          <w:rFonts w:ascii="Times New Roman" w:eastAsia="Times New Roman" w:hAnsi="Times New Roman" w:cs="Times New Roman"/>
          <w:sz w:val="24"/>
          <w:szCs w:val="24"/>
        </w:rPr>
        <w:t xml:space="preserve"> The implementation of this regulation is monitored by the Scientific Council and the Director of </w:t>
      </w:r>
      <w:proofErr w:type="spellStart"/>
      <w:r w:rsidRPr="007E317E">
        <w:rPr>
          <w:rFonts w:ascii="Times New Roman" w:eastAsia="Times New Roman" w:hAnsi="Times New Roman" w:cs="Times New Roman"/>
          <w:sz w:val="24"/>
          <w:szCs w:val="24"/>
        </w:rPr>
        <w:t>IeAT</w:t>
      </w:r>
      <w:proofErr w:type="spellEnd"/>
      <w:r w:rsidRPr="007E317E">
        <w:rPr>
          <w:rFonts w:ascii="Times New Roman" w:eastAsia="Times New Roman" w:hAnsi="Times New Roman" w:cs="Times New Roman"/>
          <w:sz w:val="24"/>
          <w:szCs w:val="24"/>
        </w:rPr>
        <w:t xml:space="preserve">, who will ensure the necessary resources for the development of the institute's innovation infrastructure. </w:t>
      </w:r>
    </w:p>
    <w:p w:rsidR="007E317E" w:rsidRPr="007E317E" w:rsidRDefault="007E317E" w:rsidP="007E317E">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7E317E">
        <w:rPr>
          <w:rFonts w:ascii="Times New Roman" w:eastAsia="Times New Roman" w:hAnsi="Times New Roman" w:cs="Times New Roman"/>
          <w:b/>
          <w:bCs/>
          <w:sz w:val="24"/>
          <w:szCs w:val="24"/>
        </w:rPr>
        <w:t>Art. 17.</w:t>
      </w:r>
      <w:r w:rsidRPr="007E317E">
        <w:rPr>
          <w:rFonts w:ascii="Times New Roman" w:eastAsia="Times New Roman" w:hAnsi="Times New Roman" w:cs="Times New Roman"/>
          <w:sz w:val="24"/>
          <w:szCs w:val="24"/>
        </w:rPr>
        <w:t xml:space="preserve"> Any change to the innovation and technology transfer policies will be approved by the Board of Directors, in order to remain permanently correlated with the national strategies for smart specialization and innovation, as well as European strategies.</w:t>
      </w:r>
    </w:p>
    <w:p w:rsidR="007E317E" w:rsidRDefault="007E317E" w:rsidP="000E1628">
      <w:pPr>
        <w:pStyle w:val="NormalWeb"/>
        <w:jc w:val="center"/>
        <w:rPr>
          <w:rStyle w:val="Strong"/>
        </w:rPr>
      </w:pPr>
    </w:p>
    <w:p w:rsidR="0010076F" w:rsidRDefault="0010076F"/>
    <w:sectPr w:rsidR="0010076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078" w:rsidRDefault="001C4078" w:rsidP="000E1628">
      <w:pPr>
        <w:spacing w:after="0" w:line="240" w:lineRule="auto"/>
      </w:pPr>
      <w:r>
        <w:separator/>
      </w:r>
    </w:p>
  </w:endnote>
  <w:endnote w:type="continuationSeparator" w:id="0">
    <w:p w:rsidR="001C4078" w:rsidRDefault="001C4078" w:rsidP="000E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taneo BT">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maze">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078" w:rsidRDefault="001C4078" w:rsidP="000E1628">
      <w:pPr>
        <w:spacing w:after="0" w:line="240" w:lineRule="auto"/>
      </w:pPr>
      <w:r>
        <w:separator/>
      </w:r>
    </w:p>
  </w:footnote>
  <w:footnote w:type="continuationSeparator" w:id="0">
    <w:p w:rsidR="001C4078" w:rsidRDefault="001C4078" w:rsidP="000E1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088"/>
      <w:gridCol w:w="6434"/>
    </w:tblGrid>
    <w:tr w:rsidR="000E1628" w:rsidTr="00351972">
      <w:tc>
        <w:tcPr>
          <w:tcW w:w="2088" w:type="dxa"/>
        </w:tcPr>
        <w:p w:rsidR="000E1628" w:rsidRDefault="000E1628" w:rsidP="000E1628">
          <w:r>
            <w:rPr>
              <w:noProof/>
            </w:rPr>
            <w:drawing>
              <wp:inline distT="0" distB="0" distL="0" distR="0" wp14:anchorId="0DE22E0D" wp14:editId="390D6198">
                <wp:extent cx="717550" cy="692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692150"/>
                        </a:xfrm>
                        <a:prstGeom prst="rect">
                          <a:avLst/>
                        </a:prstGeom>
                        <a:noFill/>
                        <a:ln>
                          <a:noFill/>
                        </a:ln>
                      </pic:spPr>
                    </pic:pic>
                  </a:graphicData>
                </a:graphic>
              </wp:inline>
            </w:drawing>
          </w:r>
        </w:p>
      </w:tc>
      <w:tc>
        <w:tcPr>
          <w:tcW w:w="6434" w:type="dxa"/>
        </w:tcPr>
        <w:p w:rsidR="000E1628" w:rsidRDefault="000E1628" w:rsidP="000E1628">
          <w:pPr>
            <w:pStyle w:val="Heading1"/>
            <w:ind w:firstLine="792"/>
            <w:jc w:val="left"/>
            <w:rPr>
              <w:rFonts w:ascii="Cataneo BT" w:hAnsi="Cataneo BT" w:cs="Cataneo BT"/>
              <w:color w:val="000000"/>
              <w:lang w:val="it-IT"/>
            </w:rPr>
          </w:pPr>
          <w:r>
            <w:rPr>
              <w:rFonts w:ascii="Cataneo BT" w:hAnsi="Cataneo BT" w:cs="Cataneo BT"/>
              <w:color w:val="000000"/>
              <w:lang w:val="it-IT"/>
            </w:rPr>
            <w:t>Institute  e-Austria  Timisoara</w:t>
          </w:r>
        </w:p>
        <w:p w:rsidR="000E1628" w:rsidRDefault="000E1628" w:rsidP="000E1628">
          <w:pPr>
            <w:ind w:left="1151" w:firstLine="794"/>
            <w:rPr>
              <w:sz w:val="16"/>
              <w:szCs w:val="16"/>
              <w:lang w:val="it-IT"/>
            </w:rPr>
          </w:pPr>
        </w:p>
        <w:p w:rsidR="000E1628" w:rsidRDefault="000E1628" w:rsidP="000E1628">
          <w:pPr>
            <w:ind w:firstLine="792"/>
            <w:jc w:val="both"/>
            <w:rPr>
              <w:rFonts w:ascii="Arial" w:hAnsi="Arial" w:cs="Arial"/>
              <w:sz w:val="16"/>
              <w:szCs w:val="16"/>
              <w:lang w:val="ro-RO"/>
            </w:rPr>
          </w:pPr>
          <w:r>
            <w:rPr>
              <w:rFonts w:ascii="Arial" w:hAnsi="Arial" w:cs="Arial"/>
              <w:sz w:val="16"/>
              <w:szCs w:val="16"/>
              <w:lang w:val="it-IT"/>
            </w:rPr>
            <w:t>Office: B-dul Vasile P</w:t>
          </w:r>
          <w:r>
            <w:rPr>
              <w:rFonts w:ascii="Arial" w:hAnsi="Arial" w:cs="Arial"/>
              <w:sz w:val="16"/>
              <w:szCs w:val="16"/>
              <w:lang w:val="ro-RO"/>
            </w:rPr>
            <w:t>ârvan nr. 4-6, RO-300223 Timişoara</w:t>
          </w:r>
        </w:p>
        <w:p w:rsidR="000E1628" w:rsidRDefault="000E1628" w:rsidP="000E1628">
          <w:pPr>
            <w:ind w:firstLine="792"/>
            <w:jc w:val="both"/>
            <w:rPr>
              <w:rFonts w:ascii="Arial" w:hAnsi="Arial" w:cs="Arial"/>
              <w:sz w:val="16"/>
              <w:szCs w:val="16"/>
              <w:lang w:val="it-IT"/>
            </w:rPr>
          </w:pPr>
          <w:r>
            <w:rPr>
              <w:rFonts w:ascii="Arial" w:hAnsi="Arial" w:cs="Arial"/>
              <w:sz w:val="16"/>
              <w:szCs w:val="16"/>
              <w:lang w:val="ro-RO"/>
            </w:rPr>
            <w:t>Tel/fax</w:t>
          </w:r>
          <w:r>
            <w:rPr>
              <w:rFonts w:ascii="Arial" w:hAnsi="Arial" w:cs="Arial"/>
              <w:sz w:val="16"/>
              <w:szCs w:val="16"/>
              <w:lang w:val="it-IT"/>
            </w:rPr>
            <w:t>:  +40 256 244834</w:t>
          </w:r>
        </w:p>
        <w:p w:rsidR="000E1628" w:rsidRDefault="000E1628" w:rsidP="000E1628">
          <w:pPr>
            <w:ind w:firstLine="792"/>
            <w:jc w:val="both"/>
            <w:rPr>
              <w:lang w:val="it-IT"/>
            </w:rPr>
          </w:pPr>
          <w:r>
            <w:rPr>
              <w:rFonts w:ascii="Arial" w:hAnsi="Arial" w:cs="Arial"/>
              <w:sz w:val="16"/>
              <w:szCs w:val="16"/>
              <w:lang w:val="it-IT"/>
            </w:rPr>
            <w:t>E-mail: secretariat@ieat.ro, http:// www.ieat.ro</w:t>
          </w:r>
          <w:r>
            <w:rPr>
              <w:lang w:val="it-IT"/>
            </w:rPr>
            <w:t xml:space="preserve">                </w:t>
          </w:r>
        </w:p>
      </w:tc>
    </w:tr>
  </w:tbl>
  <w:p w:rsidR="000E1628" w:rsidRDefault="000E1628" w:rsidP="000E1628">
    <w:pPr>
      <w:pBdr>
        <w:bottom w:val="single" w:sz="12" w:space="1" w:color="auto"/>
      </w:pBdr>
      <w:rPr>
        <w:rFonts w:ascii="Amaze" w:hAnsi="Amaze" w:cs="Amaze"/>
        <w:color w:val="000000"/>
        <w:sz w:val="20"/>
        <w:szCs w:val="20"/>
        <w:lang w:val="it-IT"/>
      </w:rPr>
    </w:pPr>
  </w:p>
  <w:p w:rsidR="000E1628" w:rsidRDefault="000E1628" w:rsidP="000E1628">
    <w:pPr>
      <w:pStyle w:val="Heading2"/>
    </w:pPr>
    <w:r>
      <w:rPr>
        <w:lang w:val="it-IT"/>
      </w:rPr>
      <w:t xml:space="preserve">       </w:t>
    </w:r>
    <w:r>
      <w:t>Advancing Information Technology through Research and Applications</w:t>
    </w:r>
  </w:p>
  <w:p w:rsidR="000E1628" w:rsidRPr="000E1628" w:rsidRDefault="000E1628">
    <w:pPr>
      <w:pStyle w:val="Head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5"/>
    <w:rsid w:val="000E1628"/>
    <w:rsid w:val="0010076F"/>
    <w:rsid w:val="001C4078"/>
    <w:rsid w:val="007E317E"/>
    <w:rsid w:val="00A60EC5"/>
    <w:rsid w:val="00C4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B969"/>
  <w15:chartTrackingRefBased/>
  <w15:docId w15:val="{C9E57D1B-BCBB-4C43-A402-6242D8CB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E1628"/>
    <w:pPr>
      <w:keepNext/>
      <w:spacing w:after="0" w:line="240" w:lineRule="auto"/>
      <w:jc w:val="both"/>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uiPriority w:val="99"/>
    <w:qFormat/>
    <w:rsid w:val="000E1628"/>
    <w:pPr>
      <w:keepNext/>
      <w:spacing w:after="0" w:line="240" w:lineRule="auto"/>
      <w:jc w:val="both"/>
      <w:outlineLvl w:val="1"/>
    </w:pPr>
    <w:rPr>
      <w:rFonts w:ascii="Times New Roman" w:eastAsia="Times New Roman" w:hAnsi="Times New Roman" w:cs="Times New Roman"/>
      <w:b/>
      <w:bCs/>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6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1628"/>
    <w:rPr>
      <w:b/>
      <w:bCs/>
    </w:rPr>
  </w:style>
  <w:style w:type="paragraph" w:styleId="Header">
    <w:name w:val="header"/>
    <w:basedOn w:val="Normal"/>
    <w:link w:val="HeaderChar"/>
    <w:uiPriority w:val="99"/>
    <w:unhideWhenUsed/>
    <w:rsid w:val="000E1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628"/>
  </w:style>
  <w:style w:type="paragraph" w:styleId="Footer">
    <w:name w:val="footer"/>
    <w:basedOn w:val="Normal"/>
    <w:link w:val="FooterChar"/>
    <w:uiPriority w:val="99"/>
    <w:unhideWhenUsed/>
    <w:rsid w:val="000E1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628"/>
  </w:style>
  <w:style w:type="character" w:customStyle="1" w:styleId="Heading1Char">
    <w:name w:val="Heading 1 Char"/>
    <w:basedOn w:val="DefaultParagraphFont"/>
    <w:link w:val="Heading1"/>
    <w:uiPriority w:val="99"/>
    <w:rsid w:val="000E1628"/>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9"/>
    <w:rsid w:val="000E1628"/>
    <w:rPr>
      <w:rFonts w:ascii="Times New Roman" w:eastAsia="Times New Roman" w:hAnsi="Times New Roman" w:cs="Times New Roman"/>
      <w:b/>
      <w:bCs/>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22495">
      <w:bodyDiv w:val="1"/>
      <w:marLeft w:val="0"/>
      <w:marRight w:val="0"/>
      <w:marTop w:val="0"/>
      <w:marBottom w:val="0"/>
      <w:divBdr>
        <w:top w:val="none" w:sz="0" w:space="0" w:color="auto"/>
        <w:left w:val="none" w:sz="0" w:space="0" w:color="auto"/>
        <w:bottom w:val="none" w:sz="0" w:space="0" w:color="auto"/>
        <w:right w:val="none" w:sz="0" w:space="0" w:color="auto"/>
      </w:divBdr>
    </w:div>
    <w:div w:id="146881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dc:creator>
  <cp:keywords/>
  <dc:description/>
  <cp:lastModifiedBy>A1</cp:lastModifiedBy>
  <cp:revision>3</cp:revision>
  <dcterms:created xsi:type="dcterms:W3CDTF">2026-04-22T08:45:00Z</dcterms:created>
  <dcterms:modified xsi:type="dcterms:W3CDTF">2026-04-22T09:28:00Z</dcterms:modified>
</cp:coreProperties>
</file>